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1CCBFF52" w14:textId="0C9AFC52" w:rsidR="000B1DF6" w:rsidRPr="00931BC4" w:rsidRDefault="000B1DF6" w:rsidP="000B1DF6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t>Day 2, Handout 6</w:t>
      </w:r>
    </w:p>
    <w:p w14:paraId="590E9DCA" w14:textId="70FB4776" w:rsidR="000B1DF6" w:rsidRDefault="000B1DF6" w:rsidP="002517DB">
      <w:pPr>
        <w:pStyle w:val="Heading2"/>
        <w:spacing w:after="120"/>
        <w:rPr>
          <w:rFonts w:ascii="Arial" w:hAnsi="Arial" w:cs="Arial"/>
        </w:rPr>
      </w:pPr>
      <w:r>
        <w:rPr>
          <w:rFonts w:ascii="Arial" w:hAnsi="Arial" w:cs="Arial"/>
        </w:rPr>
        <w:t>Risk identification and problem solving</w:t>
      </w:r>
    </w:p>
    <w:p w14:paraId="159F9728" w14:textId="00FD3305" w:rsidR="005525AF" w:rsidRPr="000B1DF6" w:rsidRDefault="005525AF" w:rsidP="002517DB">
      <w:pPr>
        <w:spacing w:after="120"/>
        <w:rPr>
          <w:rFonts w:ascii="Arial" w:hAnsi="Arial" w:cs="Arial"/>
          <w:color w:val="333333" w:themeColor="text1"/>
          <w:sz w:val="24"/>
          <w:szCs w:val="24"/>
        </w:rPr>
      </w:pPr>
      <w:r w:rsidRPr="000B1DF6">
        <w:rPr>
          <w:rFonts w:ascii="Arial" w:hAnsi="Arial" w:cs="Arial"/>
          <w:color w:val="333333" w:themeColor="text1"/>
          <w:sz w:val="24"/>
          <w:szCs w:val="24"/>
        </w:rPr>
        <w:t>A key aspect of the post</w:t>
      </w:r>
      <w:r w:rsidR="000B1DF6" w:rsidRPr="000B1DF6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>quit sessions is going to be identifying high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risk situations and supporting the 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patient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to take a problem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>solving approach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 xml:space="preserve"> by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planning ahead for these and considering strategies that will help.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5954"/>
      </w:tblGrid>
      <w:tr w:rsidR="00C77761" w:rsidRPr="00751056" w14:paraId="3BFC8160" w14:textId="77777777" w:rsidTr="00D611AC">
        <w:trPr>
          <w:trHeight w:val="3214"/>
        </w:trPr>
        <w:tc>
          <w:tcPr>
            <w:tcW w:w="3964" w:type="dxa"/>
            <w:shd w:val="clear" w:color="auto" w:fill="03A9ED"/>
            <w:tcMar>
              <w:top w:w="142" w:type="dxa"/>
              <w:left w:w="142" w:type="dxa"/>
              <w:right w:w="142" w:type="dxa"/>
            </w:tcMar>
            <w:vAlign w:val="center"/>
          </w:tcPr>
          <w:p w14:paraId="1AEA8A29" w14:textId="6F3E84F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Risk situations:</w:t>
            </w: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br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List as many risk situations as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>you can that may trigger strong cravings or lapse/relapse, consider:</w:t>
            </w:r>
          </w:p>
          <w:p w14:paraId="32C30B9B" w14:textId="6813D14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 xml:space="preserve">situational triggers </w:t>
            </w:r>
          </w:p>
          <w:p w14:paraId="7FA1026F" w14:textId="213AF65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 xml:space="preserve">emotional triggers </w:t>
            </w:r>
          </w:p>
          <w:p w14:paraId="1FA490A9" w14:textId="4397A0CE" w:rsidR="00C77761" w:rsidRPr="00AC72C3" w:rsidRDefault="00C77761" w:rsidP="00C77761">
            <w:pPr>
              <w:tabs>
                <w:tab w:val="left" w:pos="283"/>
              </w:tabs>
              <w:rPr>
                <w:color w:val="FFFFFF" w:themeColor="background1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>thought triggers</w:t>
            </w:r>
            <w:r w:rsidR="002517D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: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‘I’ll just have </w:t>
            </w:r>
            <w:r w:rsidR="002517D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one’</w:t>
            </w:r>
          </w:p>
        </w:tc>
        <w:tc>
          <w:tcPr>
            <w:tcW w:w="5954" w:type="dxa"/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14:paraId="6FBBE4ED" w14:textId="031FB7D9" w:rsidR="00C77761" w:rsidRPr="000B1DF6" w:rsidRDefault="00D611AC" w:rsidP="00D611AC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  <w:bookmarkEnd w:id="0"/>
          </w:p>
        </w:tc>
      </w:tr>
      <w:tr w:rsidR="00C77761" w:rsidRPr="000B1DF6" w14:paraId="7EF113C1" w14:textId="77777777" w:rsidTr="00D611AC">
        <w:trPr>
          <w:trHeight w:val="3247"/>
        </w:trPr>
        <w:tc>
          <w:tcPr>
            <w:tcW w:w="3964" w:type="dxa"/>
            <w:shd w:val="clear" w:color="auto" w:fill="03A9ED"/>
            <w:tcMar>
              <w:top w:w="142" w:type="dxa"/>
              <w:left w:w="142" w:type="dxa"/>
              <w:right w:w="142" w:type="dxa"/>
            </w:tcMar>
            <w:vAlign w:val="center"/>
          </w:tcPr>
          <w:p w14:paraId="40540B98" w14:textId="7A2E8ED8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Problem solving:</w:t>
            </w: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br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List questions that will help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 xml:space="preserve">the client to explore solutions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>to high-risk situations</w:t>
            </w:r>
            <w:r w:rsidR="00D611AC"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</w:r>
          </w:p>
        </w:tc>
        <w:tc>
          <w:tcPr>
            <w:tcW w:w="5954" w:type="dxa"/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14:paraId="2AB8D816" w14:textId="1C43B930" w:rsidR="00C77761" w:rsidRPr="000B1DF6" w:rsidRDefault="00D611AC" w:rsidP="00D611AC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</w:p>
        </w:tc>
      </w:tr>
    </w:tbl>
    <w:p w14:paraId="47F39054" w14:textId="4CACC361" w:rsidR="002517DB" w:rsidRDefault="002517DB" w:rsidP="002517DB">
      <w:pPr>
        <w:spacing w:before="120" w:after="120"/>
      </w:pP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There may be times when the </w:t>
      </w:r>
      <w:r>
        <w:rPr>
          <w:rFonts w:ascii="Arial" w:hAnsi="Arial" w:cs="Arial"/>
          <w:color w:val="333333" w:themeColor="text1"/>
          <w:sz w:val="24"/>
          <w:szCs w:val="24"/>
        </w:rPr>
        <w:t>patient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is struggling to come up with strategies for the above situations</w:t>
      </w:r>
      <w:r>
        <w:rPr>
          <w:rFonts w:ascii="Arial" w:hAnsi="Arial" w:cs="Arial"/>
          <w:color w:val="333333" w:themeColor="text1"/>
          <w:sz w:val="24"/>
          <w:szCs w:val="24"/>
        </w:rPr>
        <w:t xml:space="preserve"> and 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you may also have ideas to add to the </w:t>
      </w:r>
      <w:r>
        <w:rPr>
          <w:rFonts w:ascii="Arial" w:hAnsi="Arial" w:cs="Arial"/>
          <w:color w:val="333333" w:themeColor="text1"/>
          <w:sz w:val="24"/>
          <w:szCs w:val="24"/>
        </w:rPr>
        <w:t>patient’s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strategies. If you were to provide a menu of options</w:t>
      </w:r>
      <w:r>
        <w:rPr>
          <w:rFonts w:ascii="Arial" w:hAnsi="Arial" w:cs="Arial"/>
          <w:color w:val="333333" w:themeColor="text1"/>
          <w:sz w:val="24"/>
          <w:szCs w:val="24"/>
        </w:rPr>
        <w:t>,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what would they be? Build a list of options here: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C77761" w:rsidRPr="000B1DF6" w14:paraId="5AC8D486" w14:textId="77777777" w:rsidTr="002517DB">
        <w:trPr>
          <w:trHeight w:val="2888"/>
        </w:trPr>
        <w:tc>
          <w:tcPr>
            <w:tcW w:w="9918" w:type="dxa"/>
            <w:shd w:val="clear" w:color="auto" w:fill="auto"/>
            <w:tcMar>
              <w:top w:w="142" w:type="dxa"/>
              <w:left w:w="142" w:type="dxa"/>
              <w:right w:w="142" w:type="dxa"/>
            </w:tcMar>
          </w:tcPr>
          <w:p w14:paraId="7A6ABF29" w14:textId="2C58C069" w:rsidR="00C77761" w:rsidRPr="002517DB" w:rsidRDefault="002517DB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7DB">
              <w:rPr>
                <w:rFonts w:ascii="Arial" w:hAnsi="Arial" w:cs="Arial"/>
                <w:b/>
                <w:bCs/>
                <w:color w:val="333333" w:themeColor="text1"/>
                <w:sz w:val="24"/>
                <w:szCs w:val="24"/>
              </w:rPr>
              <w:t>M</w:t>
            </w:r>
            <w:r w:rsidR="00C77761" w:rsidRPr="002517DB">
              <w:rPr>
                <w:rFonts w:ascii="Arial" w:hAnsi="Arial" w:cs="Arial"/>
                <w:b/>
                <w:bCs/>
                <w:sz w:val="24"/>
                <w:szCs w:val="24"/>
              </w:rPr>
              <w:t>enu of options</w:t>
            </w:r>
            <w:r w:rsidR="00D611AC" w:rsidRPr="000B1DF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77761" w:rsidRPr="000B1DF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="00D611AC"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  <w:bookmarkEnd w:id="1"/>
          </w:p>
          <w:p w14:paraId="3658D8A0" w14:textId="77777777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pPr>
          </w:p>
          <w:p w14:paraId="59719C29" w14:textId="77777777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pPr>
          </w:p>
          <w:p w14:paraId="5C338B26" w14:textId="097B4779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EA76CB" w14:textId="77777777" w:rsidR="00C77761" w:rsidRPr="00DA4D35" w:rsidRDefault="00C77761" w:rsidP="009B0691"/>
    <w:sectPr w:rsidR="00C77761" w:rsidRPr="00DA4D35" w:rsidSect="00CA281F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C700" w14:textId="77777777" w:rsidR="00042739" w:rsidRDefault="00042739">
      <w:pPr>
        <w:spacing w:after="0" w:line="240" w:lineRule="auto"/>
      </w:pPr>
      <w:r>
        <w:separator/>
      </w:r>
    </w:p>
  </w:endnote>
  <w:endnote w:type="continuationSeparator" w:id="0">
    <w:p w14:paraId="0355D954" w14:textId="77777777" w:rsidR="00042739" w:rsidRDefault="0004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3237" w14:textId="77777777" w:rsidR="00C417B6" w:rsidRPr="003128C1" w:rsidRDefault="00C417B6" w:rsidP="00C417B6">
    <w:pPr>
      <w:pStyle w:val="Footer"/>
      <w:spacing w:line="360" w:lineRule="auto"/>
      <w:rPr>
        <w:rFonts w:ascii="Arial" w:hAnsi="Arial" w:cs="Arial"/>
        <w:color w:val="333333" w:themeColor="text1"/>
        <w:szCs w:val="20"/>
      </w:rPr>
    </w:pPr>
    <w:r w:rsidRPr="003128C1">
      <w:rPr>
        <w:rFonts w:ascii="Arial" w:hAnsi="Arial" w:cs="Arial"/>
        <w:color w:val="333333" w:themeColor="text1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F387" w14:textId="77777777" w:rsidR="00042739" w:rsidRDefault="00042739">
      <w:pPr>
        <w:spacing w:after="0" w:line="240" w:lineRule="auto"/>
      </w:pPr>
      <w:r>
        <w:separator/>
      </w:r>
    </w:p>
  </w:footnote>
  <w:footnote w:type="continuationSeparator" w:id="0">
    <w:p w14:paraId="6CF00A78" w14:textId="77777777" w:rsidR="00042739" w:rsidRDefault="0004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65FFBC63" w:rsidR="00D815CC" w:rsidRPr="00D815CC" w:rsidRDefault="00DC618E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EEB04CC" wp14:editId="5D095FD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86703">
    <w:abstractNumId w:val="9"/>
  </w:num>
  <w:num w:numId="2" w16cid:durableId="2130977018">
    <w:abstractNumId w:val="0"/>
  </w:num>
  <w:num w:numId="3" w16cid:durableId="134025845">
    <w:abstractNumId w:val="3"/>
  </w:num>
  <w:num w:numId="4" w16cid:durableId="1709795462">
    <w:abstractNumId w:val="7"/>
  </w:num>
  <w:num w:numId="5" w16cid:durableId="1259483875">
    <w:abstractNumId w:val="2"/>
  </w:num>
  <w:num w:numId="6" w16cid:durableId="957491319">
    <w:abstractNumId w:val="4"/>
  </w:num>
  <w:num w:numId="7" w16cid:durableId="1814985472">
    <w:abstractNumId w:val="8"/>
  </w:num>
  <w:num w:numId="8" w16cid:durableId="1493065915">
    <w:abstractNumId w:val="1"/>
  </w:num>
  <w:num w:numId="9" w16cid:durableId="1333217024">
    <w:abstractNumId w:val="6"/>
  </w:num>
  <w:num w:numId="10" w16cid:durableId="72915842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42739"/>
    <w:rsid w:val="000633BC"/>
    <w:rsid w:val="000736BD"/>
    <w:rsid w:val="000770D6"/>
    <w:rsid w:val="00081C0F"/>
    <w:rsid w:val="000A19BB"/>
    <w:rsid w:val="000B1DF6"/>
    <w:rsid w:val="000D263C"/>
    <w:rsid w:val="000D5385"/>
    <w:rsid w:val="000E09E1"/>
    <w:rsid w:val="000E6273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A0DE6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761E"/>
    <w:rsid w:val="002437DD"/>
    <w:rsid w:val="002517DB"/>
    <w:rsid w:val="002864A1"/>
    <w:rsid w:val="00286994"/>
    <w:rsid w:val="0029478D"/>
    <w:rsid w:val="002A00A5"/>
    <w:rsid w:val="002A02E0"/>
    <w:rsid w:val="002B0D59"/>
    <w:rsid w:val="002B3F68"/>
    <w:rsid w:val="002D03AB"/>
    <w:rsid w:val="002D1BFD"/>
    <w:rsid w:val="002D5B60"/>
    <w:rsid w:val="002E26F3"/>
    <w:rsid w:val="002F7236"/>
    <w:rsid w:val="0030727B"/>
    <w:rsid w:val="00311464"/>
    <w:rsid w:val="0037354F"/>
    <w:rsid w:val="003B3F67"/>
    <w:rsid w:val="003B6BEA"/>
    <w:rsid w:val="003C38FF"/>
    <w:rsid w:val="003C6D5C"/>
    <w:rsid w:val="003F083E"/>
    <w:rsid w:val="00413BC4"/>
    <w:rsid w:val="0044414D"/>
    <w:rsid w:val="00452EA0"/>
    <w:rsid w:val="00466D63"/>
    <w:rsid w:val="004704AB"/>
    <w:rsid w:val="00472E3E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508E8"/>
    <w:rsid w:val="005525AF"/>
    <w:rsid w:val="00555824"/>
    <w:rsid w:val="0056086E"/>
    <w:rsid w:val="00576A73"/>
    <w:rsid w:val="0058480C"/>
    <w:rsid w:val="00597E0A"/>
    <w:rsid w:val="005A7DFB"/>
    <w:rsid w:val="005B1BE9"/>
    <w:rsid w:val="0060321A"/>
    <w:rsid w:val="0064125F"/>
    <w:rsid w:val="00642EE6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E4D1E"/>
    <w:rsid w:val="007F76C3"/>
    <w:rsid w:val="008044E7"/>
    <w:rsid w:val="0081616A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35E05"/>
    <w:rsid w:val="009577B9"/>
    <w:rsid w:val="0096244B"/>
    <w:rsid w:val="00966094"/>
    <w:rsid w:val="00967A1B"/>
    <w:rsid w:val="00982576"/>
    <w:rsid w:val="009A41A7"/>
    <w:rsid w:val="009B0691"/>
    <w:rsid w:val="009B06F7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C72C3"/>
    <w:rsid w:val="00AD4733"/>
    <w:rsid w:val="00AE35D1"/>
    <w:rsid w:val="00AE5572"/>
    <w:rsid w:val="00AF20AA"/>
    <w:rsid w:val="00B062A5"/>
    <w:rsid w:val="00B140C0"/>
    <w:rsid w:val="00B15E54"/>
    <w:rsid w:val="00B257A4"/>
    <w:rsid w:val="00B74FDB"/>
    <w:rsid w:val="00B85A4D"/>
    <w:rsid w:val="00B958C2"/>
    <w:rsid w:val="00B97760"/>
    <w:rsid w:val="00BE0556"/>
    <w:rsid w:val="00BF6F5E"/>
    <w:rsid w:val="00C0238C"/>
    <w:rsid w:val="00C36CE9"/>
    <w:rsid w:val="00C40844"/>
    <w:rsid w:val="00C417B6"/>
    <w:rsid w:val="00C475E8"/>
    <w:rsid w:val="00C52A75"/>
    <w:rsid w:val="00C77761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11AC"/>
    <w:rsid w:val="00D67FA8"/>
    <w:rsid w:val="00D81427"/>
    <w:rsid w:val="00D815CC"/>
    <w:rsid w:val="00DA4D35"/>
    <w:rsid w:val="00DB3510"/>
    <w:rsid w:val="00DC308D"/>
    <w:rsid w:val="00DC618E"/>
    <w:rsid w:val="00DD123A"/>
    <w:rsid w:val="00DD4F8C"/>
    <w:rsid w:val="00DD5B34"/>
    <w:rsid w:val="00DF07F3"/>
    <w:rsid w:val="00DF74AB"/>
    <w:rsid w:val="00E05524"/>
    <w:rsid w:val="00E14B45"/>
    <w:rsid w:val="00E15B70"/>
    <w:rsid w:val="00E25CE9"/>
    <w:rsid w:val="00E544A5"/>
    <w:rsid w:val="00E604C8"/>
    <w:rsid w:val="00EA175E"/>
    <w:rsid w:val="00EA565D"/>
    <w:rsid w:val="00ED1306"/>
    <w:rsid w:val="00ED65CC"/>
    <w:rsid w:val="00EE1237"/>
    <w:rsid w:val="00F0076B"/>
    <w:rsid w:val="00F01CDA"/>
    <w:rsid w:val="00F042B9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6578"/>
    <w:rsid w:val="00FB19AE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F132E6-66A3-436B-8EDE-B71A2276E55D}">
  <ds:schemaRefs>
    <ds:schemaRef ds:uri="http://schemas.microsoft.com/office/2006/documentManagement/types"/>
    <ds:schemaRef ds:uri="6f9764a4-8270-4f29-bbff-a467630dd90c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f08a3a01-a810-4981-84de-513e48da387b"/>
  </ds:schemaRefs>
</ds:datastoreItem>
</file>

<file path=customXml/itemProps2.xml><?xml version="1.0" encoding="utf-8"?>
<ds:datastoreItem xmlns:ds="http://schemas.openxmlformats.org/officeDocument/2006/customXml" ds:itemID="{A42E493E-0854-4291-8232-7EA3B998EF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74CEF-D2CA-48B8-B238-8C4C6EF77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14</cp:revision>
  <dcterms:created xsi:type="dcterms:W3CDTF">2021-03-08T12:38:00Z</dcterms:created>
  <dcterms:modified xsi:type="dcterms:W3CDTF">2024-02-27T16:08:00Z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